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123D" w14:textId="7EC82530" w:rsidR="00B929DF" w:rsidRDefault="008D6010">
      <w:pPr>
        <w:pStyle w:val="Heading1"/>
        <w:rPr>
          <w:lang w:val="et-EE"/>
        </w:rPr>
      </w:pPr>
      <w:r w:rsidRPr="00355B49">
        <w:rPr>
          <w:lang w:val="et-EE"/>
        </w:rPr>
        <w:t>Teabetaotlus (Sihtasutus Tallinna Kultuurikatel)</w:t>
      </w:r>
      <w:r w:rsidR="00CF4D34">
        <w:rPr>
          <w:lang w:val="et-EE"/>
        </w:rPr>
        <w:tab/>
      </w:r>
      <w:r w:rsidR="00CF4D34">
        <w:rPr>
          <w:lang w:val="et-EE"/>
        </w:rPr>
        <w:tab/>
      </w:r>
      <w:r w:rsidR="00CF4D34">
        <w:rPr>
          <w:lang w:val="et-EE"/>
        </w:rPr>
        <w:tab/>
      </w:r>
      <w:r w:rsidR="004B2112">
        <w:rPr>
          <w:lang w:val="et-EE"/>
        </w:rPr>
        <w:t>27.02.2025</w:t>
      </w:r>
    </w:p>
    <w:p w14:paraId="5AF4F6CA" w14:textId="1402DC2A" w:rsidR="004B2112" w:rsidRPr="004B2112" w:rsidRDefault="004B2112" w:rsidP="004B2112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157A94">
        <w:rPr>
          <w:lang w:val="et-EE"/>
        </w:rPr>
        <w:t xml:space="preserve">Nr </w:t>
      </w:r>
      <w:r w:rsidR="008E35F8" w:rsidRPr="008E35F8">
        <w:rPr>
          <w:lang w:val="et-EE"/>
        </w:rPr>
        <w:t>5-4/2025-179-7</w:t>
      </w:r>
    </w:p>
    <w:p w14:paraId="34199C75" w14:textId="77777777" w:rsidR="00B929DF" w:rsidRPr="00355B49" w:rsidRDefault="008D6010">
      <w:pPr>
        <w:rPr>
          <w:rFonts w:ascii="Times New Roman" w:hAnsi="Times New Roman" w:cs="Times New Roman"/>
          <w:sz w:val="20"/>
          <w:szCs w:val="20"/>
          <w:lang w:val="et-EE"/>
        </w:rPr>
      </w:pPr>
      <w:r w:rsidRPr="00355B49">
        <w:rPr>
          <w:rFonts w:ascii="Times New Roman" w:hAnsi="Times New Roman" w:cs="Times New Roman"/>
          <w:sz w:val="20"/>
          <w:szCs w:val="20"/>
          <w:lang w:val="et-EE"/>
        </w:rPr>
        <w:t>Palun täitke allolev tabel vastavate andmetega ja saatke see tagasi Konkurentsiametile.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B929DF" w:rsidRPr="00355B49" w14:paraId="694E6AF4" w14:textId="77777777">
        <w:tc>
          <w:tcPr>
            <w:tcW w:w="4320" w:type="dxa"/>
          </w:tcPr>
          <w:p w14:paraId="5593F65D" w14:textId="77777777" w:rsidR="00B929DF" w:rsidRPr="00355B49" w:rsidRDefault="008D6010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Teabe küsimine</w:t>
            </w:r>
          </w:p>
        </w:tc>
        <w:tc>
          <w:tcPr>
            <w:tcW w:w="4320" w:type="dxa"/>
          </w:tcPr>
          <w:p w14:paraId="285F4107" w14:textId="77777777" w:rsidR="00B929DF" w:rsidRPr="00355B49" w:rsidRDefault="008D6010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Vastus</w:t>
            </w:r>
          </w:p>
        </w:tc>
      </w:tr>
      <w:tr w:rsidR="00B929DF" w:rsidRPr="00355B49" w14:paraId="69F23A69" w14:textId="77777777">
        <w:tc>
          <w:tcPr>
            <w:tcW w:w="4320" w:type="dxa"/>
          </w:tcPr>
          <w:p w14:paraId="006A0270" w14:textId="63A43D4D" w:rsidR="00B929DF" w:rsidRPr="00355B49" w:rsidRDefault="004368F8" w:rsidP="00355B49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Kas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üürib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Kultuurikatla Black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Box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saali (edaspidi „oma ruume“) kontsertide korraldamiseks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välja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>?</w:t>
            </w:r>
          </w:p>
        </w:tc>
        <w:tc>
          <w:tcPr>
            <w:tcW w:w="4320" w:type="dxa"/>
          </w:tcPr>
          <w:p w14:paraId="7DEC3676" w14:textId="53271861" w:rsidR="00B929DF" w:rsidRPr="00355B49" w:rsidRDefault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Jah, üürib. </w:t>
            </w:r>
          </w:p>
        </w:tc>
      </w:tr>
      <w:tr w:rsidR="004368F8" w:rsidRPr="00355B49" w14:paraId="118A3579" w14:textId="77777777">
        <w:tc>
          <w:tcPr>
            <w:tcW w:w="4320" w:type="dxa"/>
          </w:tcPr>
          <w:p w14:paraId="0CB7CBCD" w14:textId="547A057B" w:rsidR="004368F8" w:rsidRPr="00355B49" w:rsidRDefault="004368F8" w:rsidP="004368F8">
            <w:pPr>
              <w:pStyle w:val="NormalWeb"/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1.1. Kui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ei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üüri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oma ruume kontsertide korraldamiseks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välja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, siis millistel tingimustel (kui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üldse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) kaaluks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oma ruumide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välja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üürimist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kontsertide korraldamiseks? </w:t>
            </w:r>
          </w:p>
        </w:tc>
        <w:tc>
          <w:tcPr>
            <w:tcW w:w="4320" w:type="dxa"/>
          </w:tcPr>
          <w:p w14:paraId="02124268" w14:textId="30D8E176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Jah, üürib. Kultuurikatel on Tallinna linna asutatud sihtasutus, mille üks põhikirjaline eesmärk on ka mitmekesistada Tallinna ja Eesti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loomemjandussektorit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. Eelistame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ekpordipotentsiaaliga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Eesti artiste ning anname neile võimaluse korraldada oma kontsert Kultuurikatlas.</w:t>
            </w:r>
          </w:p>
        </w:tc>
      </w:tr>
      <w:tr w:rsidR="004368F8" w:rsidRPr="00355B49" w14:paraId="5E6AEEE0" w14:textId="77777777">
        <w:tc>
          <w:tcPr>
            <w:tcW w:w="4320" w:type="dxa"/>
          </w:tcPr>
          <w:p w14:paraId="7E322471" w14:textId="3D077506" w:rsidR="004368F8" w:rsidRPr="00355B49" w:rsidRDefault="004368F8" w:rsidP="004368F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Loetlege kontsertide liigid:</w:t>
            </w:r>
          </w:p>
        </w:tc>
        <w:tc>
          <w:tcPr>
            <w:tcW w:w="4320" w:type="dxa"/>
          </w:tcPr>
          <w:p w14:paraId="64AD10D0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4368F8" w:rsidRPr="00355B49" w14:paraId="3E3B638E" w14:textId="77777777">
        <w:tc>
          <w:tcPr>
            <w:tcW w:w="4320" w:type="dxa"/>
          </w:tcPr>
          <w:p w14:paraId="475AF61E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2.1. mida on ettevõtja ruumides korraldatud;</w:t>
            </w:r>
          </w:p>
        </w:tc>
        <w:tc>
          <w:tcPr>
            <w:tcW w:w="4320" w:type="dxa"/>
          </w:tcPr>
          <w:p w14:paraId="07A0C893" w14:textId="52EC5869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Kontserdina käsitleme muusikasündmust, mis algab peale kell 18.00 ja lõpeb hiljemalt kell 23.00. Kultuurikatlas on toimunud järgmiste žanrite kontserdid: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pop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, jazz, klassika, elektrooniline muusika, metal, hip-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hop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ja R&amp;B.</w:t>
            </w:r>
          </w:p>
        </w:tc>
      </w:tr>
      <w:tr w:rsidR="004368F8" w:rsidRPr="00355B49" w14:paraId="1BB7C3D2" w14:textId="77777777">
        <w:tc>
          <w:tcPr>
            <w:tcW w:w="4320" w:type="dxa"/>
          </w:tcPr>
          <w:p w14:paraId="07670240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2.2. mida ettevõtja ruumides on võimalik korraldada lisaks eelmises punktis nimetatutele.</w:t>
            </w:r>
          </w:p>
        </w:tc>
        <w:tc>
          <w:tcPr>
            <w:tcW w:w="4320" w:type="dxa"/>
          </w:tcPr>
          <w:p w14:paraId="15CE058E" w14:textId="65A4A802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Muusikavaldkonnas on veel võimalik korraldada klubisündmusi, mis algavad kell </w:t>
            </w:r>
            <w:r w:rsidR="00326033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23.00 ja lõpevad 04.00 öösel. Klubisündmused ei liigitu kontser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</w:t>
            </w:r>
            <w:r w:rsidR="00326033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i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d</w:t>
            </w:r>
            <w:r w:rsidR="00326033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 alla ning neid me ei käsitle kontser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</w:t>
            </w:r>
            <w:r w:rsidR="00326033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i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d</w:t>
            </w:r>
            <w:r w:rsidR="00326033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ena. </w:t>
            </w:r>
          </w:p>
        </w:tc>
      </w:tr>
      <w:tr w:rsidR="004368F8" w:rsidRPr="00355B49" w14:paraId="7E9641AE" w14:textId="77777777">
        <w:tc>
          <w:tcPr>
            <w:tcW w:w="4320" w:type="dxa"/>
          </w:tcPr>
          <w:p w14:paraId="73E021B5" w14:textId="4701D4EF" w:rsidR="004368F8" w:rsidRPr="00355B49" w:rsidRDefault="004368F8" w:rsidP="004368F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Kas ettevõtja ruume on võimalik üürida selliselt, et oodatav publik on:</w:t>
            </w:r>
          </w:p>
        </w:tc>
        <w:tc>
          <w:tcPr>
            <w:tcW w:w="4320" w:type="dxa"/>
          </w:tcPr>
          <w:p w14:paraId="787A1576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4368F8" w:rsidRPr="00355B49" w14:paraId="098DFEC9" w14:textId="77777777">
        <w:tc>
          <w:tcPr>
            <w:tcW w:w="4320" w:type="dxa"/>
          </w:tcPr>
          <w:p w14:paraId="6562AD1D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3.1. kuni 1000 inimest;</w:t>
            </w:r>
          </w:p>
        </w:tc>
        <w:tc>
          <w:tcPr>
            <w:tcW w:w="4320" w:type="dxa"/>
          </w:tcPr>
          <w:p w14:paraId="159829F3" w14:textId="1F855AC9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Jah, kuni 600 inimest teatristiilis istumisega ning seisukontsert kuni 1400 inimest. </w:t>
            </w:r>
          </w:p>
        </w:tc>
      </w:tr>
      <w:tr w:rsidR="004368F8" w:rsidRPr="00355B49" w14:paraId="1A6076A0" w14:textId="77777777">
        <w:tc>
          <w:tcPr>
            <w:tcW w:w="4320" w:type="dxa"/>
          </w:tcPr>
          <w:p w14:paraId="27741EA4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3.2. 1000–1500 inimest;</w:t>
            </w:r>
          </w:p>
        </w:tc>
        <w:tc>
          <w:tcPr>
            <w:tcW w:w="4320" w:type="dxa"/>
          </w:tcPr>
          <w:p w14:paraId="2CC84735" w14:textId="4BACD4FB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Jah, seisukontsert kuni 1400 inimest. </w:t>
            </w:r>
          </w:p>
        </w:tc>
      </w:tr>
      <w:tr w:rsidR="004368F8" w:rsidRPr="00355B49" w14:paraId="3BE754E9" w14:textId="77777777">
        <w:tc>
          <w:tcPr>
            <w:tcW w:w="4320" w:type="dxa"/>
          </w:tcPr>
          <w:p w14:paraId="01B39EB6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3.3. 1500–2000 inimest?</w:t>
            </w:r>
          </w:p>
        </w:tc>
        <w:tc>
          <w:tcPr>
            <w:tcW w:w="4320" w:type="dxa"/>
          </w:tcPr>
          <w:p w14:paraId="62DC63A3" w14:textId="7639DCDF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-</w:t>
            </w:r>
          </w:p>
        </w:tc>
      </w:tr>
      <w:tr w:rsidR="004368F8" w:rsidRPr="00355B49" w14:paraId="2412EC27" w14:textId="77777777">
        <w:tc>
          <w:tcPr>
            <w:tcW w:w="4320" w:type="dxa"/>
          </w:tcPr>
          <w:p w14:paraId="34B14051" w14:textId="7C068F2C" w:rsidR="004368F8" w:rsidRPr="00355B49" w:rsidRDefault="004368F8" w:rsidP="004368F8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Kas ja milliseid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täiendavaid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tegevusi peab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ruumides tegema (nt lisatoolid, kardin liigsete toolide peitmiseks vms), kui oodatav publik on</w:t>
            </w:r>
          </w:p>
        </w:tc>
        <w:tc>
          <w:tcPr>
            <w:tcW w:w="4320" w:type="dxa"/>
          </w:tcPr>
          <w:p w14:paraId="0EFD3CD2" w14:textId="6D8723D9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4368F8" w:rsidRPr="00355B49" w14:paraId="4374A300" w14:textId="77777777">
        <w:tc>
          <w:tcPr>
            <w:tcW w:w="4320" w:type="dxa"/>
          </w:tcPr>
          <w:p w14:paraId="04FA5FED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4.1. kuni 1000 inimest;</w:t>
            </w:r>
          </w:p>
        </w:tc>
        <w:tc>
          <w:tcPr>
            <w:tcW w:w="4320" w:type="dxa"/>
          </w:tcPr>
          <w:p w14:paraId="143EACB7" w14:textId="1B3023BF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Kultuurikatlas on kolm saali, mis on sobilikud kontserdi korraldamiseks: Black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Box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saal, Katelde saal ja Väike saal. Kõik kolm saali on universaalsaalid, kus ei ole lava ning on 0 ühikut tehnilist inventari (va Katelde saal, kus on lae all riputusraam, mujal saalides 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seda 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ei ole). Ettevõtja ehk üürnik peab ehitama ise tühjadesse saalidesse lavad, tooma turv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a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aiad, paigaldama nõuetekohaselt kogu kontserdi korraldamiseks vajaliku teh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n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ilise heli-, valgus-, ja videotehnilise inventari.</w:t>
            </w:r>
          </w:p>
        </w:tc>
      </w:tr>
      <w:tr w:rsidR="004368F8" w:rsidRPr="00355B49" w14:paraId="7E402284" w14:textId="77777777">
        <w:tc>
          <w:tcPr>
            <w:tcW w:w="4320" w:type="dxa"/>
          </w:tcPr>
          <w:p w14:paraId="6C9E0B84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4.2. 1000–1500 inimest;</w:t>
            </w:r>
          </w:p>
        </w:tc>
        <w:tc>
          <w:tcPr>
            <w:tcW w:w="4320" w:type="dxa"/>
          </w:tcPr>
          <w:p w14:paraId="062CC2F7" w14:textId="61AF3FD1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Ainult Black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Box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saal mahutab sellise arvu inimesi. Tegu on universaalsaaliga, kus ei ole lava ning on 0 ühikut tehnilist inventari. Ettevõtja ehk üürnik peab ehitama ise tühja saali lava, tooma 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lastRenderedPageBreak/>
              <w:t>turva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a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iad 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ja 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paigaldama nõuetekohaselt kogu kontserdi korraldamiseks vajaliku teh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n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ilise heli-, valgus-, ja videotehnilise inventari.</w:t>
            </w:r>
          </w:p>
        </w:tc>
      </w:tr>
      <w:tr w:rsidR="004368F8" w:rsidRPr="00355B49" w14:paraId="7826F1B5" w14:textId="77777777">
        <w:tc>
          <w:tcPr>
            <w:tcW w:w="4320" w:type="dxa"/>
          </w:tcPr>
          <w:p w14:paraId="7D792945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lastRenderedPageBreak/>
              <w:t>4.3. 1500–2000 inimest?</w:t>
            </w:r>
          </w:p>
        </w:tc>
        <w:tc>
          <w:tcPr>
            <w:tcW w:w="4320" w:type="dxa"/>
          </w:tcPr>
          <w:p w14:paraId="2C313E12" w14:textId="3AD41F19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-</w:t>
            </w:r>
          </w:p>
        </w:tc>
      </w:tr>
      <w:tr w:rsidR="004368F8" w:rsidRPr="00355B49" w14:paraId="494C86D4" w14:textId="77777777">
        <w:tc>
          <w:tcPr>
            <w:tcW w:w="4320" w:type="dxa"/>
          </w:tcPr>
          <w:p w14:paraId="09139D4D" w14:textId="372DAF32" w:rsidR="004368F8" w:rsidRPr="00355B49" w:rsidRDefault="004368F8" w:rsidP="004368F8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Palun kirjeldage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ruumide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üürihinna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kujunemist kontsertide puhul ning esitage kehtiv hinnakiri (kui on) </w:t>
            </w:r>
          </w:p>
        </w:tc>
        <w:tc>
          <w:tcPr>
            <w:tcW w:w="4320" w:type="dxa"/>
          </w:tcPr>
          <w:p w14:paraId="50863FDB" w14:textId="466B83C9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Kultuurikatel käsitleb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kontserdeid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kultuurisündmustena ja kultuurisündmustele pakume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loomemajandusarenduskeskusena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ka kultuurisündmustele mõeldud hinda, mis erineb näiteks konverentsikorraldajatele pakutavast hinnast. Black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Box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saali päevane üürihind teatristiilis kontserdile kuni 500 inimest on 1200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eurot+km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ja 500+ kontserditele 1500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eurot+km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 Katelde saal mahutab teatristiilis kuni 200 inimest ja päevane  üür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i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h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i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nd on 900 eurot ning 200+ inimest kontserditele on Katelde saali üürihind 1100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eurot+km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. Väike saal mahutab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max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200 inimest teatristiilis ning päevane üürihind on 600 eurot +km. </w:t>
            </w:r>
            <w:r w:rsidRPr="00355B49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* Päe</w:t>
            </w:r>
            <w:r w:rsidR="00355B49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v</w:t>
            </w:r>
            <w:r w:rsidRPr="00355B49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ane üürihind hakkab kehtima alates neljandast kasutustunnist. Kuna Kultuurikatel pakub kontserdikorraldajatele ilma tehnilise sisseseadeta ja lavadeta ruume, siis alla nelja tunni meie ruume ei olegi võimalik üürida, </w:t>
            </w:r>
            <w:r w:rsidR="00355B49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kuna</w:t>
            </w:r>
            <w:r w:rsidRPr="00355B49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ajaliselt ei jõua</w:t>
            </w:r>
            <w:r w:rsidR="00355B49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ks</w:t>
            </w:r>
            <w:r w:rsidRPr="00355B49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tehnilise ülesehitus</w:t>
            </w:r>
            <w:r w:rsidR="00355B49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ega valmis</w:t>
            </w:r>
            <w:r w:rsidRPr="00355B49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. </w:t>
            </w:r>
          </w:p>
        </w:tc>
      </w:tr>
      <w:tr w:rsidR="004368F8" w:rsidRPr="00355B49" w14:paraId="6CE20F1C" w14:textId="77777777">
        <w:tc>
          <w:tcPr>
            <w:tcW w:w="4320" w:type="dxa"/>
          </w:tcPr>
          <w:p w14:paraId="17DD5DCB" w14:textId="3CE87546" w:rsidR="004368F8" w:rsidRPr="00355B49" w:rsidRDefault="004368F8" w:rsidP="004368F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Mis on keskmine hind, mida ürituse korraldaja peab ettevõtjale tasuma, kui oodatav publik on:</w:t>
            </w:r>
          </w:p>
        </w:tc>
        <w:tc>
          <w:tcPr>
            <w:tcW w:w="4320" w:type="dxa"/>
          </w:tcPr>
          <w:p w14:paraId="2263E201" w14:textId="4A8D6009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4368F8" w:rsidRPr="00355B49" w14:paraId="3BD3C059" w14:textId="77777777">
        <w:tc>
          <w:tcPr>
            <w:tcW w:w="4320" w:type="dxa"/>
          </w:tcPr>
          <w:p w14:paraId="376AA1B4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6.1. kuni 1000 inimest;</w:t>
            </w:r>
          </w:p>
        </w:tc>
        <w:tc>
          <w:tcPr>
            <w:tcW w:w="4320" w:type="dxa"/>
          </w:tcPr>
          <w:p w14:paraId="10CA4C09" w14:textId="2259E387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Black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Box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saali puhul 1000 inimese puhul 1500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eurot+km</w:t>
            </w:r>
            <w:proofErr w:type="spellEnd"/>
          </w:p>
        </w:tc>
      </w:tr>
      <w:tr w:rsidR="004368F8" w:rsidRPr="00355B49" w14:paraId="75786F33" w14:textId="77777777">
        <w:tc>
          <w:tcPr>
            <w:tcW w:w="4320" w:type="dxa"/>
          </w:tcPr>
          <w:p w14:paraId="4586F052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6.2. 1000–1500 inimest;</w:t>
            </w:r>
          </w:p>
        </w:tc>
        <w:tc>
          <w:tcPr>
            <w:tcW w:w="4320" w:type="dxa"/>
          </w:tcPr>
          <w:p w14:paraId="64BE5965" w14:textId="0D056070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Black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Box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saali puhul 1000 inimese puhul 1500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eurot+km</w:t>
            </w:r>
            <w:proofErr w:type="spellEnd"/>
          </w:p>
        </w:tc>
      </w:tr>
      <w:tr w:rsidR="004368F8" w:rsidRPr="00355B49" w14:paraId="4E62E34B" w14:textId="77777777">
        <w:tc>
          <w:tcPr>
            <w:tcW w:w="4320" w:type="dxa"/>
          </w:tcPr>
          <w:p w14:paraId="284EECDE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6.3. 1500–2000 inimest?</w:t>
            </w:r>
          </w:p>
        </w:tc>
        <w:tc>
          <w:tcPr>
            <w:tcW w:w="4320" w:type="dxa"/>
          </w:tcPr>
          <w:p w14:paraId="76E1C581" w14:textId="77777777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4368F8" w:rsidRPr="00355B49" w14:paraId="70613E35" w14:textId="77777777">
        <w:tc>
          <w:tcPr>
            <w:tcW w:w="4320" w:type="dxa"/>
          </w:tcPr>
          <w:p w14:paraId="42B690C8" w14:textId="399ACB2B" w:rsidR="004368F8" w:rsidRPr="00355B49" w:rsidRDefault="004368F8" w:rsidP="004368F8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Kas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ruumides on olemas peamised tehnilised vahendid kontserdi korraldamiseks (sh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helisüsteem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jms)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või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on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ettevõtjal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võimalik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ürituse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korraldaja palvel need hankida? </w:t>
            </w:r>
          </w:p>
        </w:tc>
        <w:tc>
          <w:tcPr>
            <w:tcW w:w="4320" w:type="dxa"/>
          </w:tcPr>
          <w:p w14:paraId="70DD2F01" w14:textId="086D7B86" w:rsidR="004368F8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Kultuurikatla saalid on tühjad universaalsaalid, kus ei ole mitte mingisugust tehnilist sisseseadet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,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va Katelde saalis olev riputusraam. Black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Box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saalis ja Väikses saalis ei ole riputusraami, mille külge teh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n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ikat riputada. Ehk tegu on 0 tehnilise sisseseadega. Kultuurikatel ei paku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kontserdile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tehnilist teenust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</w:p>
        </w:tc>
      </w:tr>
      <w:tr w:rsidR="004368F8" w:rsidRPr="00355B49" w14:paraId="765459C3" w14:textId="77777777">
        <w:tc>
          <w:tcPr>
            <w:tcW w:w="4320" w:type="dxa"/>
          </w:tcPr>
          <w:p w14:paraId="020A8691" w14:textId="77777777" w:rsidR="004368F8" w:rsidRPr="00355B49" w:rsidRDefault="004368F8" w:rsidP="004368F8">
            <w:pPr>
              <w:pStyle w:val="NormalWeb"/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7.1. Kas nimetatud tehnilised vahendid on lisatasu eest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või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sisaldub igal juhul hinnas? Kui lisatasu eest, palume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välja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tuua keskmise hinna </w:t>
            </w:r>
          </w:p>
          <w:p w14:paraId="5D9C7967" w14:textId="28C0A870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320" w:type="dxa"/>
          </w:tcPr>
          <w:p w14:paraId="56EA51E3" w14:textId="19EC53F1" w:rsidR="00F66182" w:rsidRPr="00355B49" w:rsidRDefault="00326033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Kultuurikatla saalid on tühjad universaalsaalid, kus ei ole mitte mingisugust tehnilist sisseseadet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,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va Katelde saalis olev riputusraam. Black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Box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saalis ja Väikses saalis ei ole täna riputusraami, mille külge teh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n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ikat riputada. Kultuurikatel ei paku tehnilist teenust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pop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, </w:t>
            </w:r>
            <w:r w:rsidR="00F66182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jazz, elektroonilise, metal ja hip-</w:t>
            </w:r>
            <w:proofErr w:type="spellStart"/>
            <w:r w:rsidR="00F66182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hop</w:t>
            </w:r>
            <w:proofErr w:type="spellEnd"/>
            <w:r w:rsidR="00F66182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ja R&amp;B muusika 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kontserditel</w:t>
            </w:r>
            <w:r w:rsidR="00F66182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e, sest 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meil täna sellise võimekusega tehni</w:t>
            </w:r>
            <w:r w:rsidR="00F66182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line inventar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puudub. </w:t>
            </w:r>
            <w:r w:rsidR="00F66182"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Saame pakkuda tehnilist teenust klassika muusika kontserditele, mis ei vaja erilist helivõimendust ning valgustehnikat ehk saavad hakkama minimaalsega. Keskmine hind on ca € 700+km. </w:t>
            </w:r>
          </w:p>
        </w:tc>
      </w:tr>
      <w:tr w:rsidR="004368F8" w:rsidRPr="00355B49" w14:paraId="367CFB21" w14:textId="77777777">
        <w:tc>
          <w:tcPr>
            <w:tcW w:w="4320" w:type="dxa"/>
          </w:tcPr>
          <w:p w14:paraId="1D04880D" w14:textId="288CEB30" w:rsidR="004368F8" w:rsidRPr="00355B49" w:rsidRDefault="004368F8" w:rsidP="004368F8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lastRenderedPageBreak/>
              <w:t xml:space="preserve">Kas piletivahenduskeskkonna konkreetse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ürituse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jaoks valib reeglina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või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ürituse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korraldaja? Selgitada ja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põhjendada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4320" w:type="dxa"/>
          </w:tcPr>
          <w:p w14:paraId="51E41817" w14:textId="32756DBE" w:rsidR="004368F8" w:rsidRPr="00355B49" w:rsidRDefault="00F66182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Kultuurikatel ei korralda ise sündmusi ning ei paku ka piletivahendusteenust 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ega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keskkonda. Iga korraldaja saab endale valida sobivaima piletivahenduskeskkonna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</w:tr>
      <w:tr w:rsidR="004368F8" w:rsidRPr="00355B49" w14:paraId="5009780B" w14:textId="77777777">
        <w:tc>
          <w:tcPr>
            <w:tcW w:w="4320" w:type="dxa"/>
          </w:tcPr>
          <w:p w14:paraId="3469F73F" w14:textId="77777777" w:rsidR="004368F8" w:rsidRPr="00355B49" w:rsidRDefault="004368F8" w:rsidP="004368F8">
            <w:pPr>
              <w:pStyle w:val="NormalWeb"/>
              <w:numPr>
                <w:ilvl w:val="0"/>
                <w:numId w:val="14"/>
              </w:numPr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Kas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ruumides korraldatava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ürituse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pileteid on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võimalik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vahendada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kõigil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piletivahendus- keskkondadel? (Jah/ei)</w:t>
            </w:r>
          </w:p>
          <w:p w14:paraId="73BAF37B" w14:textId="634DA2C3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320" w:type="dxa"/>
          </w:tcPr>
          <w:p w14:paraId="661BB55C" w14:textId="5582A650" w:rsidR="004368F8" w:rsidRPr="00355B49" w:rsidRDefault="00F66182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Jah. Kultuurikatel ei korralda ise sündmusi ning ei paku ka piletivahendusteenust 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ega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keskkonda. Iga korraldaja saab endale valida sobivaima piletivahenduskeskkonna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</w:tr>
      <w:tr w:rsidR="004368F8" w:rsidRPr="00355B49" w14:paraId="6A9C3E70" w14:textId="77777777">
        <w:tc>
          <w:tcPr>
            <w:tcW w:w="4320" w:type="dxa"/>
          </w:tcPr>
          <w:p w14:paraId="612A78A9" w14:textId="3563C529" w:rsidR="004368F8" w:rsidRPr="00355B49" w:rsidRDefault="004368F8" w:rsidP="004368F8">
            <w:pPr>
              <w:pStyle w:val="NormalWeb"/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9.1. Esitage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põhjused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>, miks ei saa(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ks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) iga piletivahenduskeskkond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ruumides korraldatava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ürituse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pileteid vahendada </w:t>
            </w:r>
          </w:p>
          <w:p w14:paraId="164F0DDF" w14:textId="6E46D721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320" w:type="dxa"/>
          </w:tcPr>
          <w:p w14:paraId="71D3EF9D" w14:textId="19B03E6A" w:rsidR="004368F8" w:rsidRPr="00355B49" w:rsidRDefault="00F66182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Kultuurikatlas saavad kõik oma teenust pakkuda. </w:t>
            </w:r>
          </w:p>
        </w:tc>
      </w:tr>
      <w:tr w:rsidR="004368F8" w:rsidRPr="00355B49" w14:paraId="06696B92" w14:textId="77777777">
        <w:tc>
          <w:tcPr>
            <w:tcW w:w="4320" w:type="dxa"/>
          </w:tcPr>
          <w:p w14:paraId="071437D1" w14:textId="26798187" w:rsidR="004368F8" w:rsidRPr="00355B49" w:rsidRDefault="004368F8" w:rsidP="004368F8">
            <w:pPr>
              <w:pStyle w:val="NormalWeb"/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9.2. Loetlege konkreetsed piletivahenduskeskkonnad, kellel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võimaldab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ruumides korraldatava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ürituse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pileteid vahendada.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Põhjendada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4320" w:type="dxa"/>
          </w:tcPr>
          <w:p w14:paraId="2DADFA55" w14:textId="270E417D" w:rsidR="004368F8" w:rsidRPr="00355B49" w:rsidRDefault="00F66182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Meil ei ole kehtestatud piiranguid, iga korraldaja saab valida talle sobivaima piletivahenduskeskkonna.</w:t>
            </w:r>
          </w:p>
        </w:tc>
      </w:tr>
      <w:tr w:rsidR="004368F8" w:rsidRPr="00355B49" w14:paraId="3D07EEE6" w14:textId="77777777">
        <w:tc>
          <w:tcPr>
            <w:tcW w:w="4320" w:type="dxa"/>
          </w:tcPr>
          <w:p w14:paraId="1550679B" w14:textId="6B8B52AE" w:rsidR="004368F8" w:rsidRPr="00355B49" w:rsidRDefault="004368F8" w:rsidP="004368F8">
            <w:pPr>
              <w:pStyle w:val="NormalWeb"/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9.3. Loetlege konkreetsed piletivahenduskeskkonnad, kellel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ei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võimalda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ruumides korraldatava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ürituse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pileteid vahendada.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Põhjendada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4320" w:type="dxa"/>
          </w:tcPr>
          <w:p w14:paraId="48A35530" w14:textId="3082C82D" w:rsidR="004368F8" w:rsidRPr="00355B49" w:rsidRDefault="00F66182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Meil ei ole kehtestatud piiranguid, iga korraldaja saab valida talle sobivaima piletivahenduskeskkonna.</w:t>
            </w:r>
          </w:p>
        </w:tc>
      </w:tr>
      <w:tr w:rsidR="004368F8" w:rsidRPr="00355B49" w14:paraId="3DE04816" w14:textId="77777777">
        <w:tc>
          <w:tcPr>
            <w:tcW w:w="4320" w:type="dxa"/>
          </w:tcPr>
          <w:p w14:paraId="52376E5A" w14:textId="77777777" w:rsidR="004368F8" w:rsidRPr="00355B49" w:rsidRDefault="004368F8" w:rsidP="004368F8">
            <w:pPr>
              <w:pStyle w:val="NormalWeb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  <w:lang w:val="et-EE"/>
              </w:rPr>
            </w:pPr>
            <w:r w:rsidRPr="00355B49">
              <w:rPr>
                <w:sz w:val="20"/>
                <w:szCs w:val="20"/>
                <w:lang w:val="et-EE"/>
              </w:rPr>
              <w:t xml:space="preserve">Kas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ettevõtja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ruumides korraldatava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ürituse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pileteid on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võimalik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vahendada mitmel piletivahendus- keskkonnal samaaegselt (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n-o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̈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ristmüük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)? </w:t>
            </w:r>
            <w:proofErr w:type="spellStart"/>
            <w:r w:rsidRPr="00355B49">
              <w:rPr>
                <w:sz w:val="20"/>
                <w:szCs w:val="20"/>
                <w:lang w:val="et-EE"/>
              </w:rPr>
              <w:t>Põhjendada</w:t>
            </w:r>
            <w:proofErr w:type="spellEnd"/>
            <w:r w:rsidRPr="00355B49">
              <w:rPr>
                <w:sz w:val="20"/>
                <w:szCs w:val="20"/>
                <w:lang w:val="et-EE"/>
              </w:rPr>
              <w:t xml:space="preserve"> </w:t>
            </w:r>
          </w:p>
          <w:p w14:paraId="7464CCEF" w14:textId="0598CE85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320" w:type="dxa"/>
          </w:tcPr>
          <w:p w14:paraId="5A16F5CB" w14:textId="357640D4" w:rsidR="004368F8" w:rsidRPr="00355B49" w:rsidRDefault="00F66182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Meil ei ole kehtestatud piiranguid, iga korraldaja saab valida talle sobivaima piletivahenduskeskkonna.</w:t>
            </w:r>
          </w:p>
        </w:tc>
      </w:tr>
      <w:tr w:rsidR="004368F8" w:rsidRPr="00355B49" w14:paraId="3A4C1096" w14:textId="77777777">
        <w:tc>
          <w:tcPr>
            <w:tcW w:w="4320" w:type="dxa"/>
          </w:tcPr>
          <w:p w14:paraId="603A3793" w14:textId="3485C7F0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11. Milliseid ettevõtjaid peate enda konkurentideks?</w:t>
            </w:r>
          </w:p>
        </w:tc>
        <w:tc>
          <w:tcPr>
            <w:tcW w:w="4320" w:type="dxa"/>
          </w:tcPr>
          <w:p w14:paraId="3472FC76" w14:textId="08F44D44" w:rsidR="004368F8" w:rsidRPr="00355B49" w:rsidRDefault="00F66182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Meie peamised konkurendid on Kultuurikatlale sarnased ajaloolised renoveeritud tööstushoonete operaatorid: Noblessneri valukoda, Vaba lava, 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Fotografiska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saal. </w:t>
            </w:r>
          </w:p>
        </w:tc>
      </w:tr>
      <w:tr w:rsidR="004368F8" w:rsidRPr="00355B49" w14:paraId="41A0CFFC" w14:textId="77777777">
        <w:tc>
          <w:tcPr>
            <w:tcW w:w="4320" w:type="dxa"/>
          </w:tcPr>
          <w:p w14:paraId="13251C8B" w14:textId="2E5B4F53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11.1. Kas teie hinnangul on iga konkreetse konkurendi turuosa suurem või väiksem kui ettevõtja turuosa?</w:t>
            </w:r>
          </w:p>
        </w:tc>
        <w:tc>
          <w:tcPr>
            <w:tcW w:w="4320" w:type="dxa"/>
          </w:tcPr>
          <w:p w14:paraId="11C4B001" w14:textId="6F348B6A" w:rsidR="004368F8" w:rsidRPr="00355B49" w:rsidRDefault="00F66182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Meie hinnangul on suurem. Kultuurikatla turuosa kontserdikorraldusvaldkonnas on väike. Kui meil oli 2024. </w:t>
            </w:r>
            <w:r w:rsid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a</w:t>
            </w: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astal 286 sündmuspäeva ja 108 ettevalmistuspäeva (kokku erinevad sündmused ja saalid), siis kontserdid kasutasid neist 11 päeva – 9 sündmuspäeva ja 2 ettevalmistuspäeva.</w:t>
            </w:r>
          </w:p>
        </w:tc>
      </w:tr>
      <w:tr w:rsidR="004368F8" w:rsidRPr="00355B49" w14:paraId="3AA7D56D" w14:textId="77777777">
        <w:tc>
          <w:tcPr>
            <w:tcW w:w="4320" w:type="dxa"/>
          </w:tcPr>
          <w:p w14:paraId="5157C42C" w14:textId="4506B12C" w:rsidR="004368F8" w:rsidRPr="00355B49" w:rsidRDefault="004368F8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12. Mitu üürilepingut sõlmiti ettevõtja ruumides kontsertide korraldamiseks aastal 2024 kokku?</w:t>
            </w:r>
          </w:p>
        </w:tc>
        <w:tc>
          <w:tcPr>
            <w:tcW w:w="4320" w:type="dxa"/>
          </w:tcPr>
          <w:p w14:paraId="2F0DACB8" w14:textId="361324F8" w:rsidR="004368F8" w:rsidRPr="00355B49" w:rsidRDefault="00F66182" w:rsidP="004368F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Kultuurikatlas toimus 2024. aastal 9 kontserti ning kõik olid Eesti muusikavaldkonna kontserdid. Sõlmisime kokkulepped 8 korraldajaga (</w:t>
            </w:r>
            <w:proofErr w:type="spellStart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Trad.Attack</w:t>
            </w:r>
            <w:proofErr w:type="spellEnd"/>
            <w:r w:rsidRPr="00355B49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! andis 2 kontserti).</w:t>
            </w:r>
          </w:p>
        </w:tc>
      </w:tr>
    </w:tbl>
    <w:p w14:paraId="53B3947B" w14:textId="77777777" w:rsidR="008D6010" w:rsidRPr="00355B49" w:rsidRDefault="008D6010">
      <w:pPr>
        <w:rPr>
          <w:lang w:val="et-EE"/>
        </w:rPr>
      </w:pPr>
    </w:p>
    <w:sectPr w:rsidR="008D6010" w:rsidRPr="00355B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4E58D6"/>
    <w:multiLevelType w:val="multilevel"/>
    <w:tmpl w:val="93C8CB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0885BC4"/>
    <w:multiLevelType w:val="multilevel"/>
    <w:tmpl w:val="519A0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86C5E"/>
    <w:multiLevelType w:val="multilevel"/>
    <w:tmpl w:val="33A486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A65BA"/>
    <w:multiLevelType w:val="multilevel"/>
    <w:tmpl w:val="98462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0BC650D"/>
    <w:multiLevelType w:val="multilevel"/>
    <w:tmpl w:val="EB468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1F1B40"/>
    <w:multiLevelType w:val="multilevel"/>
    <w:tmpl w:val="3FAE52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BB05C83"/>
    <w:multiLevelType w:val="multilevel"/>
    <w:tmpl w:val="9AE24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861882">
    <w:abstractNumId w:val="8"/>
  </w:num>
  <w:num w:numId="2" w16cid:durableId="1078938288">
    <w:abstractNumId w:val="6"/>
  </w:num>
  <w:num w:numId="3" w16cid:durableId="376667822">
    <w:abstractNumId w:val="5"/>
  </w:num>
  <w:num w:numId="4" w16cid:durableId="1850370041">
    <w:abstractNumId w:val="4"/>
  </w:num>
  <w:num w:numId="5" w16cid:durableId="1542939397">
    <w:abstractNumId w:val="7"/>
  </w:num>
  <w:num w:numId="6" w16cid:durableId="988363227">
    <w:abstractNumId w:val="3"/>
  </w:num>
  <w:num w:numId="7" w16cid:durableId="161942941">
    <w:abstractNumId w:val="2"/>
  </w:num>
  <w:num w:numId="8" w16cid:durableId="1755779466">
    <w:abstractNumId w:val="1"/>
  </w:num>
  <w:num w:numId="9" w16cid:durableId="1968272070">
    <w:abstractNumId w:val="0"/>
  </w:num>
  <w:num w:numId="10" w16cid:durableId="1692494006">
    <w:abstractNumId w:val="12"/>
  </w:num>
  <w:num w:numId="11" w16cid:durableId="1655063954">
    <w:abstractNumId w:val="10"/>
  </w:num>
  <w:num w:numId="12" w16cid:durableId="330450818">
    <w:abstractNumId w:val="15"/>
  </w:num>
  <w:num w:numId="13" w16cid:durableId="1856112986">
    <w:abstractNumId w:val="13"/>
  </w:num>
  <w:num w:numId="14" w16cid:durableId="168838983">
    <w:abstractNumId w:val="9"/>
  </w:num>
  <w:num w:numId="15" w16cid:durableId="1354838592">
    <w:abstractNumId w:val="11"/>
  </w:num>
  <w:num w:numId="16" w16cid:durableId="1204101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7A94"/>
    <w:rsid w:val="0029639D"/>
    <w:rsid w:val="00326033"/>
    <w:rsid w:val="00326F90"/>
    <w:rsid w:val="00355B49"/>
    <w:rsid w:val="003F0EC9"/>
    <w:rsid w:val="004368F8"/>
    <w:rsid w:val="004B2112"/>
    <w:rsid w:val="008D6010"/>
    <w:rsid w:val="008E35F8"/>
    <w:rsid w:val="00AA1D8D"/>
    <w:rsid w:val="00B47730"/>
    <w:rsid w:val="00B929DF"/>
    <w:rsid w:val="00C56E9A"/>
    <w:rsid w:val="00CB0664"/>
    <w:rsid w:val="00CF4D34"/>
    <w:rsid w:val="00E672FC"/>
    <w:rsid w:val="00F661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DDFAE8"/>
  <w14:defaultImageDpi w14:val="300"/>
  <w15:docId w15:val="{C2E33AB4-ED4C-FE43-B4E2-45A18C8C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3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20B502-AA5B-C842-A1D7-3256E2D2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Liina Oja</cp:lastModifiedBy>
  <cp:revision>6</cp:revision>
  <dcterms:created xsi:type="dcterms:W3CDTF">2025-02-27T10:32:00Z</dcterms:created>
  <dcterms:modified xsi:type="dcterms:W3CDTF">2025-02-27T11:38:00Z</dcterms:modified>
  <cp:category/>
</cp:coreProperties>
</file>